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2015/174 vom 3. August 2017</w:t>
      </w:r>
    </w:p>
    <w:p>
      <w:r>
        <w:t>Sg Versicherungsgericht, 2017-08-03, DE</w:t>
      </w:r>
    </w:p>
    <w:p>
      <w:r>
        <w:rPr>
          <w:b/>
        </w:rPr>
        <w:t xml:space="preserve">Quelle: </w:t>
      </w:r>
      <w:r>
        <w:t>https://mcp.opencaselaw.ch/entscheid/sg_publikationen_IV 2015_174</w:t>
      </w:r>
    </w:p>
    <w:p>
      <w:r>
        <w:t>FR: SG_VERSICHERUNGSGERICHT IV 2015/174 du 3 août 2017</w:t>
      </w:r>
    </w:p>
    <w:p>
      <w:r>
        <w:t>IT: SG_VERSICHERUNGSGERICHT IV 2015/174 del 3 agosto 2017</w:t>
      </w:r>
    </w:p>
    <w:p>
      <w:pPr>
        <w:pStyle w:val="Heading2"/>
      </w:pPr>
      <w:r>
        <w:t>Regeste</w:t>
      </w:r>
    </w:p>
    <w:p>
      <w:r>
        <w:t>Art. 17 ATSG; Art. 16 ATSG; Art. 28 IVG: Vorliegen eines Revisionsgrundes. Die angefochtene Verfügung stützt sich auf einen RAD-Bericht, der eine Verschlechterung verneint. Demgegenüber bejahte ein vorangegangenes, zur geltend gemachten Verschlechterung zeitlich nahestehendes Gutachten eine leichte Verschlechterung. Gestützt auf dieses ist ein Revisionsgrund zu bejahen. Es ist ein Tabellenlohnabzug zu gewähren, weil der Beschwerdeführer nur Teilzeit arbeiten kann (Entscheid des Versicherungsgerichts des Kantons St. Gallen vom 3. August 2017, IV 2015/174).</w:t>
      </w:r>
    </w:p>
    <w:p>
      <w:pPr>
        <w:pStyle w:val="Heading2"/>
      </w:pPr>
      <w:r>
        <w:t>Erwägungen</w:t>
      </w:r>
    </w:p>
    <w:p>
      <w:r>
        <w:rPr>
          <w:b/>
        </w:rPr>
        <w:t>E. 1</w:t>
      </w:r>
    </w:p>
    <w:p>
      <w:r>
        <w:t>1.1  Der Beschwerdeführer beantragt den Beizug der EL-Akten. Soweit dieser Antrag zur Begründung des Anspruchs auf unentgeltliche Rechtspflege erfolgte (act. G 1-3), hat er sich mit deren Bewilligung erübrigt. In der Replik wiederholt er den Antrag mit der Begründung, die Beschwerde sei anhand der vollständigen Akten zu beurteilen (act. G 9-1 f.). Aus dem eingereichten Schriftverkehr mit der EL-Stelle geht hervor, dass Uneinigkeit besteht über die Verbindlichkeit der Festlegung des Invaliditätsgrades der IV-Stelle für das EL-Verfahren (act. G 9.1 und 9.2). Es besteht jedoch keine Grundlage dafür, dass im EL-Verfahren der Invaliditätsgrad für die IV-Stelle verbindlich zu bestimmen wäre. Vielmehr bildet die Zusprache einer IV-Rente Voraussetzung für die Zusprache einer Ergänzungsleistung (Art. 4 Abs. 1 lit. c des Bundesgesetzes über Ergänzungsleistungen zur Alters-, Hinterlassenen- und Invalidenversicherung [ELG; SR 831.30]). Somit besteht kein Anlass zur Annahme, dass in den EL-Akten für die Bemessung des Invaliditätsgrades massgebliche Berichte enthalten sein könnten, welche für das IV-Verfahren wesentlich und in den IV-Akten nicht enthalten sind. Auf deren Beizug kann verzichtet werden (antizipierte Beweiswürdigung; BGE 136 I 236 E. 5.3; BGE 134 I 148 E. 5.3 und BGE 124 V 94 E. 4b). 1.2  Der Beschwerdeführer rügt eine Verletzung des rechtlichen Gehörs, da nicht ersichtlich sei, auf welche Lohnstrukturerhebung des Bundesamtes für Statistik sich die Beschwerdegegnerin abstütze, und da sich die Beschwerdegegnerin in der angefochtenen Verfügung nicht zum Bericht von Dr. B.___ vom 4. Dezember 2014 (IV-act. 122) geäussert habe (act. G 1-12). Der Bericht von Dr. B.___ vom (4.) Dezember 2014 wurde dem RAD zur Stellungnahme unterbreitet (IV-act. 123), was in der angefochtenen Verfügung erwähnt wird. Die RAD-Stellungnahme vom 26. Februar 2015 wurde sodann zusammen mit der Verfügung dem Beschwerdeführer zugestellt (IV-act. 129-2). Aus dem Einkommensvergleich (IV-act. 125) geht hervor, dass diesem die Angaben der einstigen Arbeitgeberin sowie die Lohnstrukturerhebung des Jahres 2011 zugrunde gelegt wurden. Die Aufrechnung auf das Jahr 2011 ist in der angefochtenen Verfügung vermerkt; dass die Jahresangabe in Bezug auf die Lohnstrukturerhebung nicht speziell erfolgte, stellt keine Verletzung des rechtlichen Gehörs dar. 1.3  Schliesslich macht der Beschwerdeführer geltend, die Beschwerdegegnerin verletze den Untersuchungsgrundsatz, indem sie unbegründet von einer BEFAS-Abklärung absehe (act. G 1-13). Gleichzeitig wird jedoch vorgebracht, eine BEFAS-Abklärung sei aufgrund der kombinierten Persönlichkeitsstörung weder dem Beschwerdeführer noch der BEFAS-Abklärungsstätte zumutbar (act. G 1-14). Aus dem Wesen der BEFAS-Abklärung ergibt sich ohne weiteres, dass diese nur aussagekräftig sein kann, wenn sich die versicherte Person subjektiv dazu fähig fühlt. Dies ist vorliegend gerade nicht der Fall. Von einer BEFAS-Abklärung waren daher im Zeitpunkt der angefochtenen Verfügung keine weiteren Erkenntnisse zu erwarten, weshalb diese unterbleiben durfte (antizipierte Beweiswürdigung; BGE 136 I 236 E. 5.3; BGE 134 I 148 E. 5.3 und BGE 124 V 94 E. 4b).</w:t>
      </w:r>
    </w:p>
    <w:p>
      <w:r>
        <w:rPr>
          <w:b/>
        </w:rPr>
        <w:t>E. 2</w:t>
      </w:r>
    </w:p>
    <w:p>
      <w:r>
        <w:t>2.1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2.3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 des Bundesgerichts vom 17. Januar 2008, 9C_552/2007, E. 3.1.2, mit weiteren Hinweisen). Die Beantwortung der Frage, ob eine massgebende Änderung eingetreten ist, setzt einen Vergleich zweier Sachverhalte voraus (U. KIESER, ATSG-Kommentar, 3. Aufl., Zürich 2015, Art. 17 N 25).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w:t>
      </w:r>
    </w:p>
    <w:p>
      <w:r>
        <w:rPr>
          <w:b/>
        </w:rPr>
        <w:t>E. 3</w:t>
      </w:r>
    </w:p>
    <w:p>
      <w:r>
        <w:t>3.1  Medizinische Grundlage der angefochtenen Verfügung bildet der Bericht vom 10. November 2014 über die RAD-Abklärung durch Dr. G.___ vom 23. Juli 2014 (IV-act. 119). Dieser führte aus, aus der vertieften Kindheitsanamnese ergebe sich, dass zumindest Entwicklungsasynchronien aufgetreten seien. Dadurch habe er sich früh ausgegrenzt, ausgesetzt, abgelehnt und auch gedemütigt und seinen dadurch entstandenen aggressiven Impulsen gegenüber ohnmächtig gefühlt. Anschaulich beschreibe der Beschwerdeführer die Entwicklung seiner Schwierigkeiten an seiner Arbeitsstelle bei H.___ bis zur Kündigung mit ständiger Anspannung, affektiver Unausgeglichenheit, Reizbarkeit, Hilflosigkeit gegenüber steigendem Arbeitsdruck, Ängsten vor Versagen gegenüber anspruchsvoller Kundschaft und jüngeren, an fachspezifischem Wissen ihm überlegenen Mitarbeitern. Unter diesem Druck sei die belastete Persönlichkeitsstruktur mehr und mehr manifest geworden: Versagensangst, aggressive Durchlässigkeit, massive Selbstunwertgefühle, Störung der Impulskontrolle, Schwierigkeiten in der interaktionellen Kommunikation sowohl mit Vorgesetzten, Mitarbeitern als auch Kunden. Somit ergäben sich insgesamt bereits aus der psychiatrischen Vorgeschichte keine grundsätzlich abweichenden Beurteilungen in der diagnostischen Einordnung der festzustellenden Psychopathologie (IV-act. 119-13). Auf den Verlust der letzten Arbeitsstelle habe sich nach einer Belastungs- und Anpassungsstörung mit Angst, depressiven Verstimmungen, emotionaler Labilität mit Dünnhäutigkeit und Angst, eigene Emotionen nicht kontrollieren zu können, eine aus der Kindheitsentwicklung heraus resultierende kombinierte Persönlichkeitsstörung entwickelt (IV 119-12). Die diagnostischen Kriterien für eine kombinierte Persönlichkeitsstörung seien in vollem Umfang erfüllt. Dies betreffe auch die Merkmale der einzelnen Persönlichkeitskomponenten wie schizoid, emotional-instabil vom impulsiv-aggressiven Typ, paranoischen wie auch vermeidend-ängstlichen und abhängig-asthenischen (selbstwertgestörten) Zügen. Der Versicherte habe länger dauernde und wieder abgeklungene traurige Zustände geschildert, die als rezidivierende leicht- bis allenfalls mittelgradige depressive Störung zu werten und aktuell bei der Untersuchung im Juli 2014 als leichte Episode einzuschätzen seien. Funktionsdefizite ergäben sich aus der kombinierten Persönlichkeitsstörung auf die gesamte Lebensgestaltung, die von Misstrauen, Ängsten und sozialem Rückzug mitbestimmt sei (IV-act. 119-14). Es ergäben sich utilisierbare Ressourcen dahingehend, dass sich der Versicherte in verständnisvoller Atmosphäre, die ihm Ernsthaftigkeit und Respekt entgegenbringe, steuern könne, also beeinflussbar sei. Dies rechtfertige nicht die Annahme, er sei anderen Menschen, insbesondere einem Arbeitgeber gegenüber, nicht zumutbar (IV 119-15). In einer adaptierten Tätigkeit bestehe eine Arbeitsfähigkeit von 4,2 Stunden täglich mit voller Leistungsfähigkeit (Gesamtarbeitsfähigkeit 50 %) seit Rentenzusprache (IV-act. 119-16). 3.2  Dr. G.___ kommt aufgrund eines nachvollziehbaren Vergleichs zum Ergebnis, diagnostisch bestehe von allen Untersuchern Einigkeit über eine kombinierte Persönlichkeitsstörung (mit gemäss Dr. B.___ sensitiv-paranoischen, schizoiden und impulsiv-aggressiven Zügen, mit gemäss Dr. F.___ sensitiv-paranoiden und impulsiv-aggressiven Zügen bzw. mit gemäss Dr. C.___ impulsiv-aggressiven und schizoiden Zügen [IV-act. 119-13 f.]). Ähnlich werden von den Fachmedizinern auch die Funktionseinschränkungen beschrieben: Dr. C.___ erwähnte eine verminderte Stresstoleranz, eine Störung des Sozialverhaltens, insbesondere im interpersonellen Kontakt, eine Störung der Emotionsregulation mit deutlichem Mangel an Anpassungs- und Teamfähigkeit, eine sehr niedrige Frustrationstoleranz sowie eine Impulskontrollstörung (IV-act. 25). Dr. F.___ hielt eine erhebliche Beeinträchtigung der emotionalen Belastbarkeit, der Frustrationstoleranz, der Anpassungsfähigkeit, der Teamfähigkeit und der Kontaktfähigkeit fest (IV-act. 91-12 f.). Dr. B.___ führte im Bericht vom 4. Dezember 2014 aus, der Beschwerdeführer sei stress- und frustrationsintolerant, neige dabei zum Verlust der Impulskontrolle und zu unberechenbaren Handlungen (IV-act. 122). Dr. G.___ nennt als Funktionsdefizite Beeinträchtigungen in der zwischenmenschlichen Kommunikation, in der Empathiefähigkeit für die Befindlichkeit anderer, eine Störung der Impulskontrolle mit Ängsten vor Kontrollverlust bei Anwesenheit aggressiv-tätlicher Gedanken, eine eingeschränkte psychische Belastbarkeit und Affektlabilität (IV-act. 119-14). 3.3  Hinsichtlich der Arbeitsfähigkeit in adaptierten Tätigkeiten schätzt Dr. G.___ diese auf 50 % (IV-act. 119-16). Die Beurteilung weicht vor allem vom behandelnden Dr. B.___ ab, der den Beschwerdeführer für ganz arbeitsunfähig bzw. keinem Arbeitgeber zumutbar hält (vgl. Fremdanamnese Dr. G.___, IV-act. 119-10; Stellungnahmen vom 4. Dezember 2014, IV-act. 122, und vom 1. September 2015, act. G 9.3). Die von Dr. B.___ hervorgehobenen Verhaltensauffälligkeiten wie andauerndes Misstrauen und Argwohn, Neigung, Erlebtes zu verdrehen bzw. neutrale oder freundliche Handlungen als feindlich und verächtlich zu missdeuten, Streitsucht und Beharren auf eigenen Rechten, die Auswirkungen der narzisstischen, aggressiv-impulsiven, selbstunwerten, sozialphobischen und schizoiden Anteile der Persönlichkeitsstörung sind (act. G 9.3), sind in die Beurteilung von Dr. G.___ eingeflossen, was sich in seiner Diagnose einer kombinierten Persönlichkeitsstörung mit narzisstischen, aggressiv-impulsiven und deutlich paranoischen und selbstunwerten und sozial-phobischen sowie schizoiden Zügen (ICD-10: F61.0) widerspiegelt (IV-act. 119-12). Dr. B.___ beschreibt auch keine von Dr. G.___ nicht erfassten Funktionsdefizite (s.o., E. 3.2). Die Abweichung von der Einschätzung von Dr. B.___ begründen Dr. F.___ (IV-act. 91-16) und Dr. G.___ nachvollziehbar mit dem Vorhandensein von Ressourcen (IV-act. 119-15, wonach der Beschwerdeführer in verständnisvoller Atmosphäre, die ihm Ernsthaftigkeit und Respekt entgegenbringe, sich steuern könne bzw. beeinflussbar sei, vgl. E. 3.1). Diese bestreitet Dr. B.___ zwar (act. G 9.3). Er bringt jedoch keine bisher unberücksichtigten medizinischen Fakten vor, vielmehr handelt es sich, wie aufgezeigt, um eine abweichende Beurteilung desselben medizinischen Sachverhalts. Zum Verlauf gelangt Dr. G.___ zum Schluss, es sei keine konkrete Verschlechterung gegenüber den Befunden 2010 und 2012 im Längsverlauf mit bleibender Auswirkung auf die Arbeitsfähigkeit erkennbar (IV-act. 119-16). Im Gegensatz dazu bejahte Dr. F.___ eine Verschlechterung im Jahr 2011. Er führte aus, aus psychiatrischer Sicht lasse sich beim Beschwerdeführer seit mindestens 2005 eine kombinierte Persönlichkeitsstörung mit emotional instabilen und reizbar aggressiven Zügen erheben mit mangelnder Impulskontrolle. Neben wechselnder instabiler Stimmung reagiere der Beschwerdeführer auf geringe Belastungen und empfundene Ungerechtigkeiten jähzornig, reizbar mit Erregungszuständen und verbaler Aggressivität. Zusätzlich liessen sich im Verlauf zunehmende Züge einer sensitiv-paranoischen Persönlichkeitsstörung erheben, gekennzeichnet durch übertriebene Empfindlichkeit und Frustrationsintoleranz mit zunehmendem Misstrauen. Laut behandelndem Psychiater bestehe besonders seit Anfang 2011 die Neigung, Erlebtes zu verdrehen und Handlungen anderer feindlich oder verächtlich zu missdeuten (IV-act. 91-12). Nachdem seit etwa Januar 2011 eine Verschlechterung der psychischen Störung mit zunehmendem Misstrauen, zunehmenden Verhaltensstörungen und paranoiden Tendenzen zu erheben sei, könne aus psychiatrischer Sicht seit etwa Januar 2011 eine 40 %ige Arbeitsfähigkeit bei vollem Stundenpensum angenommen werden, wobei mit therapeutischen Massnahmen prognostisch wieder eine Steigerung der Arbeitsfähigkeit auf 50 % erreicht werden könnte (IV-act. 91-15). Dr. G.___ verneint diese von Dr. B.___ und Dr. F.___ beschriebene Verschlechterung (IV 119-16). Er setzt sich damit nicht näher auseinander, sondern weist lediglich darauf hin, Dr. C.___ und Dr. B.___ hätten im Mai 2009 bzw. Februar 2010 die Arbeitsfähigkeit mit 50 % und Dr. F.___ im Juni 2012 mit 40 % bis 50 % eingeschätzt (IV-act. 119-14). Obwohl in Anamneseerhebung (rund dreieinhalbstündige Untersuchung, IV-act. 119-1) und Diagnoseherleitung ansonsten sehr aussagekräftig und umfassend, erweist sich der Bericht von Dr. G.___ in diesem Punkt als unvollständig. 3.4  Zusammenfassend bestätigt Dr. G.___ die von Dr. B.___ und Dr. F.___ vor-diagnostizierte Persönlichkeitsstörung und die durch sie bewirkten Funktionsdefizite. Weder Dr. G.___ noch Dr. F.___ teilen die Auffassung von Dr. B.___, der Beschwerdeführer sei keinem Arbeitsumfeld mehr zumutbar bzw. vollumfänglich arbeitsunfähig und begründen dies nachvollziehbar mit dem Vorhandensein von Ressourcen. Hinsichtlich der Frage, ob eine Arbeitsfähigkeit für adaptierte Tätigkeiten von 50 % oder - nach Verschlechterung Anfang 2011 - von 40 % vorliegt, ist Folgendes in Betracht zu ziehen: Die von Dr. G.___ und Dr. F.___ geschätzten Arbeitsfähigkeiten liegen nahe beieinander. Von einer weiteren Abklärung sind in Anbetracht der bestehenden Übereinstimmung in Diagnostik und Funktionsdefiziten keine wesentlich neuen Erkenntnisse zu erwarten. Der hinsichtlich der Verschlechterung lückenhafte, sonst aber umfassende, nachvollziehbare und schlüssige Bericht von Dr. G.___ wird durch das Gutachten von Dr. F.___ in diesem Punkt sinnvoll und stimmig ergänzt. Dr. F.___ zeichnet die geltend gemachte Verschlechterung schlüssig nach und sein Gutachten liegt dieser zeitlich näher als der Bericht von Dr. G.___. Dr. C.___ hielt Tätigkeiten mit permanentem Zeit- und Termindruck, mit hohem Publikumsverkehr und mit hohen Anforderungen an die Anpassungs- und Umstellungsfähigkeit für nicht zumutbar und eine ruhige, emotional spannungsarme Atmosphäre für erforderlich (IV-act. 25-3). Dr. F.___ umschrieb Tätigkeiten ohne erhöhte emotionale Belastung, ohne erhöhten Zeit- und Termindruck (Stressbelastung), ohne erforderliche Teamfähigkeit, ohne Kundenkontakte und ohne überdurchschnittliche Dauerbelastung als adaptiert (IV-act. 91-15). Er hielt weiter fest, der Beschwerdeführer sei dem Arbeitsumfeld nur eingeschränkt zumutbar und bedürfe besonderer Rücksicht und Verständnisses (IV-act. 91-14). Dr. G.___ bezeichnete Tätigkeiten möglichst ohne zugeordnete Teamarbeit, ohne Zeit- und Leistungsdruck, mit wenig Lärmbelastung, in ruhigem Arbeitsumfeld mit klar strukturierten Aufgaben, mit verständnisvoller und wohlwollender Einarbeitungsmöglichkeit, ohne Kundenverkehr und mit geregelten Arbeitszeiten als leidensangepasst (IV-act. 119-16). Das Zumutbarkeitsprofil von Dr. G.___ und Dr. F.___ ist damit eingeschränkter als dasjenige von Dr. C.___, was eine seit Erlass der Verfügung vom 12. Oktober 2010 eingetretene Verschlechterung plausibilisiert. Es rechtfertigt sich daher, hinsichtlich der Arbeitsfähigkeitsschätzung auf das externe Gutachten von Dr. F.___ abzustellen. Somit ist ab Januar 2011 von einer Arbeitsfähigkeit von 40 % auszugehen. Damit ist ein Revisionsgrund im Sinne von Art. 17 ATSG ausgewiesen, und der Rentenanspruch ist umfassend neu zu beurteilen.</w:t>
      </w:r>
    </w:p>
    <w:p>
      <w:r>
        <w:rPr>
          <w:b/>
        </w:rPr>
        <w:t>E. 4</w:t>
      </w:r>
    </w:p>
    <w:p>
      <w:r>
        <w:t>4.1  Gemäss Dr. F.___ besteht eine Arbeitsfähigkeit von 40 % in angepassten Tätigkeiten "etwa" ab Januar 2011 (IV-act. 91-15). Nach Art. 88a Abs. 2 der Verordnung über die Invalidenversicherung (IVV; SR 831.201) ist eine Verschlechterung der Erwerbsfähigkeit zu berücksichtigen, sobald sie ohne wesentliche Unterbrechung drei Monate gedauert hat. Die Erhöhung der Rente erfolgt bei einer Revision von Amtes wegen frühestens vom vorgesehenen Monat an (Art. 88bis Abs. 1 lit. b IVV). Das Revisionsverfahren wurde im Dezember 2011 eingeleitet (IV-act. 82), womit die Rentenerhöhung frühestens ab 1. Dezember 2011 rentenwirksam wird. Entsprechend der erstmaligen Rentenzusprache, wo der Zeitpunkt des (frühestmöglichen) Entstehens des Rentenanspruchs für den Einkommensvergleich massgebend ist (BGE 129 V 222) ist, ist im Revisionsfall auf das Wirksamwerden der Änderung abzustellen. Somit ist der Einkommensvergleich per 2011 vorzunehmen. 4.2  Im Auszug aus dem individuellen Konto des Beschwerdeführers (IK) sind für das Jahr 2001 ein Einkommen von Fr. 62'650.-, für 2002 von Fr. 62'748.-- und für 2003 von Fr. 65'052.-- verzeichnet (IV-act. 13-1 f.). Unter Berücksichtigung der Nominallohnentwicklung bis zum Jahr 2011 (Bundesamt für Statistik [BFS], Lohnentwicklung 2014, T39) betragen die Jahreseinkommen für 2001 Fr. 71'511.-- (Fr. 62'650.-- : 1902 x 2171), für 2002 Fr. 70'474.-- (Fr. 62'748.-- : 1933 x 2171) und für 2003 Fr. 72'129.-- (Fr. 65'052.-- : 1958 x 2171) und durchschnittlich Fr. 71'371.--. Die Arbeitgeberin gab im Fragebogen am 27. April 2009 an, der Beschwerdeführer habe Mühe gehabt, die neuen Technologien und Prozesse zu verstehen und anzuwenden. Dieser Umstand habe zum Teil Probleme mit der anspruchsvollen Kundschaft verursacht (IV-act. 23-10). Das Kündigungsschreiben vom 19. August 2004 verweist auf diverse vorangegangene Gespräche betreffend Leistung und Verhalten (IV-act. 23-9). Dr. G.___ hielt fest, der Beschwerdeführer beschreibe anschaulich die Entwicklung seiner Schwierigkeiten an dieser Arbeitsstelle bis zur Kündigung mit ständiger Anspannung, affektiver Unausgeglichenheit, Reizbarkeit, Hilflosigkeit gegenüber steigendem Arbeitsdruck, Ängsten vor Versagen gegenüber der anspruchsvollen Kundschaft und jüngeren, an fachspezifischem Wissen im Bereich Unterhaltungs- und IT-Elektronik ihm überlegenen Mitarbeitern (IV-act. 119-13). Auch wurde durch sämtliche Fachärzte eine 100 %ige Arbeitsunfähigkeit in dieser Tätigkeit attestiert. Somit ist davon auszugehen, dass der Beschwerdeführer die Stelle gesundheitsbedingt verlor und ohne gesundheitliche Beeinträchtigung weiterhin am bisherigen oder einem ähnlich entlöhnten Arbeitsplatz tätig wäre. Das Valideneinkommen beträgt somit Fr. 71'619.-- (2011). 4.3  Für die Bemessung des Invalideneinkommens ist vom durchschnittlichen Einkommen des Anforderungsniveaus 4, Männer, gemäss LSE/Lohnentwicklung 2011 auszugehen. Dieses beträgt Fr. 61'910.-- (Informationsstelle AHV/IV, IV Ausgabe 2015, Bern 2015, Anhang 2). Der Arbeitsfähigkeit von 40 % entsprechend beläuft es sich auf Fr. 24'764.--. 4.3.1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4.3.2      Der Beschwerdeführer macht einen Teilzeitabzug und einen Leidensabzug geltend (act. G 1-12). Dr. F.___ geht von einer 40 %igen Arbeitsfähigkeit "bei vollem Stundenpensum" aus (IV-act. 91-15), attestiert indes auch in der angestammten Tätigkeit eine "0 %ige Arbeitsfähigkeit bei vollem Stundenpensum" (IV-act. 91-14), woraus zu schliessen ist, dass dieser Ausdruck lediglich bedeutet, dass die Arbeitsfähigkeit in Prozenten eines Vollzeitpensums angegeben wird, nicht aber, dass es sich um eine bei vollzeitlicher Anwesenheit reduzierte Leistungsfähigkeit handelt. Dr. G.___ hält eine Arbeitstätigkeit während 4,2 Stunden mit voller Leistung für möglich (IV-act. 119-16). Somit ist ein Teilzeitabzug zu gewähren (Urteile des Bundesgerichts vom 26. August 2011, 8C_379/2011, E. 4.2.2.1 und vom 29. Februar 2016, 9C_808/2015, E. 3.3.2). Indes werden die Arbeitsfähigkeitsschätzungen mit verminderter Belastbarkeit und Auswirkungen der Störung im zwischenmenschlichen Bereich begründet (vgl. E. 3.2), weshalb das Erfordernis einer besonders rücksichtsvollen Arbeitsumgebung zumindest grösstenteils darin berücksichtigt ist und insoweit für einen Leidensabzug kein Raum mehr verbleibt. Insgesamt erscheint ein Tabellenlohnabzug von 10 % begründet. Das Invalideneinkommen ist folglich mit Fr. 22'288.-- (0,9 x Fr. 24'764.--) zu veranschlagen. Dies führt bei einem Valideneinkommen von Fr. 71'371.-- zu einem Invaliditätsgrad von 68,8 %, womit der Beschwerdeführer Anspruch auf eine Dreiviertelsrente hat. Anzumerken bleibt, dass selbst wenn im Zeitpunkt der durch Dr. G.___ erfolgten Untersuchung von einer leichten Verbesserung und damit erneuten 50 %igen Arbeitsfähigkeit auszugehen wäre, unter Berücksichtigung des Tabellenlohnabzugs von 10 % für Teilzeit weiterhin eine Dreiviertelsrente geschuldet wäre bei einem Invaliditätsgrad von 61 %.</w:t>
      </w:r>
    </w:p>
    <w:p>
      <w:r>
        <w:rPr>
          <w:b/>
        </w:rPr>
        <w:t>E. 5</w:t>
      </w:r>
    </w:p>
    <w:p>
      <w:r>
        <w:t>5.1  In teilweiser Gutheissung der Beschwerde ist die Verfügung vom 6. Mai 2015 aufzuheben und dem Beschwerdeführer mit Wirkung ab 1. Dezember 2011 eine Dreiviertelsrente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Hinsichtlich der Beschwerde gegen die Rentenverfügung gilt es zu beachten, dass gemäss bundesgerichtlicher Rechtsprechung zur Überklagung in sozialversicherungsrechtlichen Rentenfällen von einem vollständigen Obsiegen des Beschwerdeführers auszugehen ist (Urteil des Bundesgerichts vom 25. Januar 2008, 9C_466/2007, E. 5 mit Hinweisen). Die Beschwerdegegnerin hat ausgangsgemäss die gesamte Gerichtsgebühr von Fr. 600.-- zu bezahlen.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Die Festlegung einer Entschädigung aus unentgeltlicher Rechtsverbeiständung erübrigt sich bei diesem Prozessausgang. Entscheid im Zirkulationsverfahren gemäss Art. 39 VRP 1. In teilweiser Gutheissung der Beschwerde wird die Verfügung vom 6. Mai 2015 aufgehoben und dem Beschwerdeführer mit Wirkung ab 1. Dezember 2011 eine Dreiviertelsrente zugesprochen. Zur Festsetzung und Ausrichtung der Rentenleistung wird die Sache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